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bookmarkStart w:id="0" w:name="_GoBack"/>
      <w:bookmarkEnd w:id="0"/>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630AF6">
              <w:rPr>
                <w:rFonts w:asciiTheme="minorHAnsi" w:hAnsiTheme="minorHAnsi" w:cs="Arial"/>
                <w:bCs/>
              </w:rPr>
              <w:t>marzec</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r w:rsidR="00630AF6">
              <w:rPr>
                <w:rFonts w:asciiTheme="minorHAnsi" w:hAnsiTheme="minorHAnsi" w:cs="Arial"/>
                <w:bCs/>
              </w:rPr>
              <w:t>2</w:t>
            </w:r>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w:t>
        </w:r>
        <w:r w:rsidR="00EE4119" w:rsidRPr="00915E67">
          <w:rPr>
            <w:rFonts w:asciiTheme="minorHAnsi" w:hAnsiTheme="minorHAnsi"/>
            <w:noProof/>
            <w:webHidden/>
          </w:rPr>
          <w:fldChar w:fldCharType="end"/>
        </w:r>
      </w:hyperlink>
    </w:p>
    <w:p w:rsidR="00EE4119" w:rsidRPr="00915E67" w:rsidRDefault="00C2210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C2210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20</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23</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24</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25</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26</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C2210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32</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40</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42</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46</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49</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51</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C2210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64</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C2210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76</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C2210F">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C2210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87</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89</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91</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92</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C2210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96</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C2210F">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C2210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98</w:t>
        </w:r>
        <w:r w:rsidR="00EE4119" w:rsidRPr="00915E67">
          <w:rPr>
            <w:rFonts w:asciiTheme="minorHAnsi" w:hAnsiTheme="minorHAnsi"/>
            <w:noProof/>
            <w:webHidden/>
          </w:rPr>
          <w:fldChar w:fldCharType="end"/>
        </w:r>
      </w:hyperlink>
    </w:p>
    <w:p w:rsidR="00EE4119" w:rsidRPr="00915E67" w:rsidRDefault="00C2210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99</w:t>
        </w:r>
        <w:r w:rsidR="00EE4119" w:rsidRPr="00915E67">
          <w:rPr>
            <w:rFonts w:asciiTheme="minorHAnsi" w:hAnsiTheme="minorHAnsi"/>
            <w:noProof/>
            <w:webHidden/>
          </w:rPr>
          <w:fldChar w:fldCharType="end"/>
        </w:r>
      </w:hyperlink>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1"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2"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2"/>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3"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3"/>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4"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1"/>
      <w:r w:rsidR="002D4C2F" w:rsidRPr="00915E67">
        <w:rPr>
          <w:rFonts w:asciiTheme="minorHAnsi" w:hAnsiTheme="minorHAnsi"/>
          <w:b/>
          <w:i w:val="0"/>
          <w:szCs w:val="24"/>
        </w:rPr>
        <w:t>INFORMACJE OGÓLNE</w:t>
      </w:r>
      <w:bookmarkEnd w:id="4"/>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5" w:name="_Toc412536798"/>
      <w:bookmarkStart w:id="6" w:name="_Toc477418966"/>
      <w:r w:rsidRPr="00915E67">
        <w:rPr>
          <w:rFonts w:asciiTheme="minorHAnsi" w:hAnsiTheme="minorHAnsi"/>
          <w:color w:val="auto"/>
          <w:szCs w:val="24"/>
        </w:rPr>
        <w:t xml:space="preserve">1.1 </w:t>
      </w:r>
      <w:bookmarkEnd w:id="5"/>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6"/>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lastRenderedPageBreak/>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2E2595">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r w:rsidR="002E2595">
        <w:rPr>
          <w:rFonts w:asciiTheme="minorHAnsi" w:hAnsiTheme="minorHAnsi"/>
          <w:sz w:val="24"/>
          <w:szCs w:val="24"/>
        </w:rPr>
        <w:t xml:space="preserve"> w powiązaniu z decyzją wykonawczą wdrażającą</w:t>
      </w:r>
      <w:r w:rsidR="002E2595" w:rsidRPr="002E2595">
        <w:rPr>
          <w:rFonts w:asciiTheme="minorHAnsi" w:hAnsiTheme="minorHAnsi"/>
          <w:sz w:val="24"/>
          <w:szCs w:val="24"/>
        </w:rPr>
        <w:t xml:space="preserve"> mechani</w:t>
      </w:r>
      <w:r w:rsidR="002E2595">
        <w:rPr>
          <w:rFonts w:asciiTheme="minorHAnsi" w:hAnsiTheme="minorHAnsi"/>
          <w:sz w:val="24"/>
          <w:szCs w:val="24"/>
        </w:rPr>
        <w:t xml:space="preserve">zm </w:t>
      </w:r>
      <w:r w:rsidR="002E2595" w:rsidRPr="002E2595">
        <w:rPr>
          <w:rFonts w:asciiTheme="minorHAnsi" w:hAnsiTheme="minorHAnsi"/>
          <w:sz w:val="24"/>
          <w:szCs w:val="24"/>
        </w:rPr>
        <w:t>ochrony tymczasowej</w:t>
      </w:r>
      <w:r w:rsidR="002E2595">
        <w:rPr>
          <w:rFonts w:asciiTheme="minorHAnsi" w:hAnsiTheme="minorHAnsi"/>
          <w:sz w:val="24"/>
          <w:szCs w:val="24"/>
        </w:rPr>
        <w:t>, tj. decyzją</w:t>
      </w:r>
      <w:r w:rsidR="002E2595" w:rsidRPr="002E2595">
        <w:rPr>
          <w:rFonts w:asciiTheme="minorHAnsi" w:hAnsiTheme="minorHAnsi"/>
          <w:sz w:val="24"/>
          <w:szCs w:val="24"/>
        </w:rPr>
        <w:t xml:space="preserve"> wykonawcz</w:t>
      </w:r>
      <w:r w:rsidR="002E2595">
        <w:rPr>
          <w:rFonts w:asciiTheme="minorHAnsi" w:hAnsiTheme="minorHAnsi"/>
          <w:sz w:val="24"/>
          <w:szCs w:val="24"/>
        </w:rPr>
        <w:t>ą</w:t>
      </w:r>
      <w:r w:rsidR="002E2595" w:rsidRPr="002E2595">
        <w:rPr>
          <w:rFonts w:asciiTheme="minorHAnsi" w:hAnsiTheme="minorHAnsi"/>
          <w:sz w:val="24"/>
          <w:szCs w:val="24"/>
        </w:rPr>
        <w:t xml:space="preserve"> Rady (UE) 2022/382 z dn</w:t>
      </w:r>
      <w:r w:rsidR="002E2595">
        <w:rPr>
          <w:rFonts w:asciiTheme="minorHAnsi" w:hAnsiTheme="minorHAnsi"/>
          <w:sz w:val="24"/>
          <w:szCs w:val="24"/>
        </w:rPr>
        <w:t>ia 4 marca 2022 r. stwierdzającej</w:t>
      </w:r>
      <w:r w:rsidR="002E2595" w:rsidRPr="002E2595">
        <w:rPr>
          <w:rFonts w:asciiTheme="minorHAnsi" w:hAnsiTheme="minorHAnsi"/>
          <w:sz w:val="24"/>
          <w:szCs w:val="24"/>
        </w:rPr>
        <w:t xml:space="preserve"> istnienie masowego napływu wysiedleńców z Ukrainy w rozumieniu art. 5 dyrektywy 2001/55/WE i skutkująca wprowadzeniem tymczasowej ochrony</w:t>
      </w:r>
      <w:r w:rsidR="002E2595">
        <w:rPr>
          <w:rFonts w:asciiTheme="minorHAnsi" w:hAnsiTheme="minorHAnsi"/>
          <w:sz w:val="24"/>
          <w:szCs w:val="24"/>
        </w:rPr>
        <w:t xml:space="preserve">, </w:t>
      </w:r>
      <w:r w:rsidR="002E2595" w:rsidRPr="00AD18CE">
        <w:rPr>
          <w:rFonts w:asciiTheme="minorHAnsi" w:hAnsiTheme="minorHAnsi"/>
          <w:b/>
          <w:sz w:val="24"/>
          <w:szCs w:val="24"/>
        </w:rPr>
        <w:t>w odniesieniu do osób wskazanych w art. 2 ust. 1</w:t>
      </w:r>
      <w:r w:rsidR="00383C75">
        <w:rPr>
          <w:rFonts w:asciiTheme="minorHAnsi" w:hAnsiTheme="minorHAnsi"/>
          <w:b/>
          <w:sz w:val="24"/>
          <w:szCs w:val="24"/>
        </w:rPr>
        <w:t xml:space="preserve"> i 2</w:t>
      </w:r>
      <w:r w:rsidR="002E2595" w:rsidRPr="00AD18CE">
        <w:rPr>
          <w:rFonts w:asciiTheme="minorHAnsi" w:hAnsiTheme="minorHAnsi"/>
          <w:b/>
          <w:sz w:val="24"/>
          <w:szCs w:val="24"/>
        </w:rPr>
        <w:t xml:space="preserve"> tej decyzji</w:t>
      </w:r>
      <w:r w:rsidRPr="00915E67">
        <w:rPr>
          <w:rFonts w:asciiTheme="minorHAnsi" w:hAnsiTheme="minorHAnsi"/>
          <w:sz w:val="24"/>
          <w:szCs w:val="24"/>
        </w:rPr>
        <w:t>;</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lastRenderedPageBreak/>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3C42AD"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r w:rsidR="003C42AD">
        <w:rPr>
          <w:rFonts w:asciiTheme="minorHAnsi" w:hAnsiTheme="minorHAnsi"/>
        </w:rPr>
        <w:t>,</w:t>
      </w:r>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r w:rsidR="00830A2B">
        <w:rPr>
          <w:rFonts w:asciiTheme="minorHAnsi" w:hAnsiTheme="minorHAnsi"/>
        </w:rPr>
        <w:t xml:space="preserve"> oraz dzieci obywateli Ukrainy przebywających na terytorium RP zgodnie z art. 32 ustawy o cudzoziemcach od dnia 24.02.2022 r</w:t>
      </w:r>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lastRenderedPageBreak/>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lastRenderedPageBreak/>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7" w:name="_Toc477418967"/>
      <w:bookmarkStart w:id="8" w:name="_Toc219253140"/>
      <w:bookmarkStart w:id="9"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7"/>
    </w:p>
    <w:bookmarkEnd w:id="8"/>
    <w:bookmarkEnd w:id="9"/>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10" w:name="_Toc132417360"/>
      <w:bookmarkStart w:id="11" w:name="_Toc256716660"/>
      <w:bookmarkStart w:id="12"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0"/>
      <w:bookmarkEnd w:id="11"/>
      <w:bookmarkEnd w:id="12"/>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13" w:name="_Toc477418969"/>
      <w:r w:rsidRPr="00915E67">
        <w:rPr>
          <w:rFonts w:asciiTheme="minorHAnsi" w:hAnsiTheme="minorHAnsi"/>
          <w:color w:val="auto"/>
          <w:szCs w:val="24"/>
        </w:rPr>
        <w:lastRenderedPageBreak/>
        <w:t>2.2 Okres kwalifikowalności kosztów i wydatków</w:t>
      </w:r>
      <w:bookmarkEnd w:id="13"/>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14" w:name="_Toc477418970"/>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4"/>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5"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rFonts w:asciiTheme="minorHAnsi" w:hAnsiTheme="minorHAnsi"/>
          <w:sz w:val="24"/>
          <w:szCs w:val="24"/>
        </w:rPr>
      </w:pPr>
    </w:p>
    <w:p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28567A" w:rsidRPr="00915E67" w:rsidRDefault="0028567A" w:rsidP="0028567A">
      <w:pPr>
        <w:spacing w:after="120"/>
        <w:jc w:val="both"/>
        <w:rPr>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1766A2" w:rsidRDefault="001766A2" w:rsidP="0049641E">
      <w:pPr>
        <w:pStyle w:val="Nagwek2"/>
        <w:jc w:val="both"/>
        <w:rPr>
          <w:rFonts w:asciiTheme="minorHAnsi" w:hAnsiTheme="minorHAnsi"/>
          <w:color w:val="auto"/>
          <w:szCs w:val="24"/>
        </w:rPr>
      </w:pPr>
      <w:bookmarkStart w:id="16" w:name="_Toc477418971"/>
    </w:p>
    <w:p w:rsidR="001766A2" w:rsidRDefault="001766A2" w:rsidP="0049641E">
      <w:pPr>
        <w:pStyle w:val="Nagwek2"/>
        <w:jc w:val="both"/>
        <w:rPr>
          <w:rFonts w:asciiTheme="minorHAnsi" w:hAnsiTheme="minorHAnsi"/>
          <w:color w:val="auto"/>
          <w:szCs w:val="24"/>
        </w:rPr>
      </w:pPr>
    </w:p>
    <w:p w:rsidR="00054B9B" w:rsidRPr="00915E67" w:rsidRDefault="005A7BCA" w:rsidP="0049641E">
      <w:pPr>
        <w:pStyle w:val="Nagwek2"/>
        <w:jc w:val="both"/>
        <w:rPr>
          <w:rFonts w:asciiTheme="minorHAnsi" w:hAnsiTheme="minorHAnsi"/>
          <w:szCs w:val="24"/>
        </w:rPr>
      </w:pPr>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6"/>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1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7"/>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1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8"/>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lastRenderedPageBreak/>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1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9"/>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2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20"/>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2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1"/>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C2210F"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22" w:name="_Toc208125891"/>
    </w:p>
    <w:p w:rsidR="00A459BD" w:rsidRPr="00915E67" w:rsidRDefault="00F16B45" w:rsidP="0049641E">
      <w:pPr>
        <w:pStyle w:val="Nagwek2"/>
        <w:jc w:val="both"/>
        <w:rPr>
          <w:rFonts w:asciiTheme="minorHAnsi" w:hAnsiTheme="minorHAnsi"/>
          <w:szCs w:val="24"/>
        </w:rPr>
      </w:pPr>
      <w:bookmarkStart w:id="2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3"/>
    </w:p>
    <w:p w:rsidR="00005DB0" w:rsidRPr="00915E67" w:rsidRDefault="00005DB0">
      <w:pPr>
        <w:rPr>
          <w:rFonts w:asciiTheme="minorHAnsi" w:hAnsiTheme="minorHAnsi"/>
        </w:rPr>
      </w:pPr>
    </w:p>
    <w:bookmarkEnd w:id="22"/>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w:t>
      </w:r>
      <w:r w:rsidRPr="00915E67">
        <w:rPr>
          <w:rFonts w:asciiTheme="minorHAnsi" w:eastAsia="Times New Roman" w:hAnsiTheme="minorHAnsi"/>
          <w:b w:val="0"/>
          <w:bCs/>
          <w:szCs w:val="24"/>
        </w:rPr>
        <w:lastRenderedPageBreak/>
        <w:t>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24"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4"/>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lastRenderedPageBreak/>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2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5"/>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5"/>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2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6"/>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27" w:name="_Toc132417359"/>
      <w:bookmarkStart w:id="28" w:name="_Toc256716663"/>
      <w:bookmarkStart w:id="2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3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0"/>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w:t>
      </w:r>
      <w:r w:rsidRPr="00915E67">
        <w:rPr>
          <w:rFonts w:asciiTheme="minorHAnsi" w:hAnsiTheme="minorHAnsi"/>
          <w:sz w:val="24"/>
          <w:szCs w:val="24"/>
        </w:rPr>
        <w:lastRenderedPageBreak/>
        <w:t>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3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1"/>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2" w:name="_Toc477418983"/>
      <w:r w:rsidRPr="00915E67">
        <w:rPr>
          <w:rFonts w:asciiTheme="minorHAnsi" w:hAnsiTheme="minorHAnsi"/>
          <w:color w:val="auto"/>
          <w:szCs w:val="24"/>
        </w:rPr>
        <w:t>2.16 Dokumentowanie kosztów i wydatków</w:t>
      </w:r>
      <w:bookmarkEnd w:id="32"/>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lastRenderedPageBreak/>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3" w:name="_Toc477418984"/>
      <w:r w:rsidRPr="00915E67">
        <w:rPr>
          <w:rFonts w:asciiTheme="minorHAnsi" w:hAnsiTheme="minorHAnsi"/>
          <w:color w:val="auto"/>
          <w:szCs w:val="24"/>
        </w:rPr>
        <w:t>2.17 Dokonywanie płatności</w:t>
      </w:r>
      <w:bookmarkEnd w:id="33"/>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lastRenderedPageBreak/>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4" w:name="_Toc477418985"/>
      <w:r w:rsidRPr="00915E67">
        <w:rPr>
          <w:rFonts w:asciiTheme="minorHAnsi" w:hAnsiTheme="minorHAnsi"/>
          <w:color w:val="auto"/>
          <w:szCs w:val="24"/>
        </w:rPr>
        <w:t>2.18 Przychód i dochód wygenerowane przez projekt</w:t>
      </w:r>
      <w:bookmarkEnd w:id="34"/>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lastRenderedPageBreak/>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lastRenderedPageBreak/>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5" w:name="_Toc477418986"/>
      <w:r w:rsidRPr="00915E67">
        <w:rPr>
          <w:rFonts w:asciiTheme="minorHAnsi" w:hAnsiTheme="minorHAnsi"/>
          <w:color w:val="auto"/>
          <w:szCs w:val="24"/>
        </w:rPr>
        <w:t>2.19 Księgowanie kosztów i wydatków projektu</w:t>
      </w:r>
      <w:bookmarkEnd w:id="35"/>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36"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7"/>
      <w:r w:rsidRPr="00915E67">
        <w:rPr>
          <w:rFonts w:asciiTheme="minorHAnsi" w:hAnsiTheme="minorHAnsi"/>
          <w:b/>
          <w:i w:val="0"/>
          <w:szCs w:val="24"/>
        </w:rPr>
        <w:t>KATEGORIE WYDATKÓW</w:t>
      </w:r>
      <w:bookmarkEnd w:id="28"/>
      <w:r w:rsidRPr="00915E67">
        <w:rPr>
          <w:rFonts w:asciiTheme="minorHAnsi" w:hAnsiTheme="minorHAnsi"/>
          <w:b/>
          <w:i w:val="0"/>
          <w:szCs w:val="24"/>
        </w:rPr>
        <w:t xml:space="preserve"> KWALIFIKOWALNYCH</w:t>
      </w:r>
      <w:bookmarkEnd w:id="36"/>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3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7"/>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3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8"/>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lastRenderedPageBreak/>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3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9"/>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lastRenderedPageBreak/>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w:t>
      </w:r>
      <w:r w:rsidR="009B4AE7" w:rsidRPr="00915E67">
        <w:rPr>
          <w:rFonts w:asciiTheme="minorHAnsi" w:hAnsiTheme="minorHAnsi"/>
          <w:sz w:val="24"/>
          <w:szCs w:val="24"/>
        </w:rPr>
        <w:lastRenderedPageBreak/>
        <w:t xml:space="preserve">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lastRenderedPageBreak/>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lastRenderedPageBreak/>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wynagrodzenie pracownika zaangażowanego w realizację projektu, rozliczane w nim, nie może być wyższe niż wynagrodzenie wynikające z listy płac pracownika za dany okres rozliczeniowy - jedynie w przypadku, gdy osoba była w 100% zaangażowana w </w:t>
      </w:r>
      <w:r w:rsidRPr="00915E67">
        <w:rPr>
          <w:rFonts w:asciiTheme="minorHAnsi" w:hAnsiTheme="minorHAnsi"/>
          <w:sz w:val="24"/>
          <w:szCs w:val="24"/>
        </w:rPr>
        <w:lastRenderedPageBreak/>
        <w:t>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w:t>
      </w:r>
      <w:r w:rsidRPr="00915E67">
        <w:rPr>
          <w:rFonts w:asciiTheme="minorHAnsi" w:hAnsiTheme="minorHAnsi"/>
          <w:sz w:val="24"/>
          <w:szCs w:val="24"/>
        </w:rPr>
        <w:lastRenderedPageBreak/>
        <w:t>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lastRenderedPageBreak/>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4.25pt" o:ole="">
                  <v:imagedata r:id="rId16" o:title=""/>
                </v:shape>
                <o:OLEObject Type="Embed" ProgID="Equation.3" ShapeID="_x0000_i1025" DrawAspect="Content" ObjectID="_1709977818"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lastRenderedPageBreak/>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w:t>
      </w:r>
      <w:r w:rsidR="00F40E0F" w:rsidRPr="00915E67">
        <w:rPr>
          <w:rFonts w:asciiTheme="minorHAnsi" w:hAnsiTheme="minorHAnsi"/>
          <w:sz w:val="24"/>
          <w:szCs w:val="24"/>
        </w:rPr>
        <w:lastRenderedPageBreak/>
        <w:t xml:space="preserve">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 xml:space="preserve">dla celów </w:t>
      </w:r>
      <w:r w:rsidR="009C5377" w:rsidRPr="00915E67">
        <w:rPr>
          <w:rFonts w:asciiTheme="minorHAnsi" w:hAnsiTheme="minorHAnsi"/>
          <w:sz w:val="24"/>
          <w:szCs w:val="24"/>
        </w:rPr>
        <w:lastRenderedPageBreak/>
        <w:t>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usługi ogólne należy rozumieć usługi związane z funkcjonowaniem pomieszczeń wykorzystywanych do celów realizacji projektu, niebędących jednocześnie ogólnymi pomieszczeniami biurowymi wykorzystywanymi do celów administrowania projektem, </w:t>
      </w:r>
      <w:r w:rsidRPr="00915E67">
        <w:rPr>
          <w:rFonts w:asciiTheme="minorHAnsi" w:hAnsiTheme="minorHAnsi"/>
          <w:sz w:val="24"/>
          <w:szCs w:val="24"/>
        </w:rPr>
        <w:lastRenderedPageBreak/>
        <w:t>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lastRenderedPageBreak/>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lastRenderedPageBreak/>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lastRenderedPageBreak/>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lastRenderedPageBreak/>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lastRenderedPageBreak/>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lastRenderedPageBreak/>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9"/>
      <w:bookmarkEnd w:id="50"/>
      <w:bookmarkEnd w:id="51"/>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lastRenderedPageBreak/>
        <w:t>Rozdział 4. RAPORTOWANIE I WNIOSKOWANIE O PŁATNOŚĆ</w:t>
      </w:r>
      <w:bookmarkEnd w:id="53"/>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lub podpisem potwierdzonym profilem zaufanym ePUAP</w:t>
      </w:r>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lastRenderedPageBreak/>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Warunkiem otrzymania drugiej zaliczki na kwartały 3 i 4 jest rozliczenie w raporcie kwartalnym za pierwszy kwartał realizacji minimum 70% wydatków planowanych w tym </w:t>
            </w:r>
            <w:r w:rsidRPr="00915E67">
              <w:rPr>
                <w:rFonts w:asciiTheme="minorHAnsi" w:hAnsiTheme="minorHAnsi"/>
                <w:b w:val="0"/>
                <w:szCs w:val="24"/>
              </w:rPr>
              <w:lastRenderedPageBreak/>
              <w:t>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w:t>
      </w:r>
      <w:r w:rsidR="00404835" w:rsidRPr="00915E67">
        <w:rPr>
          <w:rFonts w:asciiTheme="minorHAnsi" w:hAnsiTheme="minorHAnsi"/>
          <w:b w:val="0"/>
          <w:szCs w:val="24"/>
        </w:rPr>
        <w:lastRenderedPageBreak/>
        <w:t>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w:t>
      </w:r>
      <w:r w:rsidRPr="00915E67">
        <w:rPr>
          <w:rFonts w:asciiTheme="minorHAnsi" w:hAnsiTheme="minorHAnsi"/>
          <w:b w:val="0"/>
          <w:szCs w:val="24"/>
        </w:rPr>
        <w:lastRenderedPageBreak/>
        <w:t xml:space="preserve">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lastRenderedPageBreak/>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koronawirus SARS-CoV-2 oraz uznaniem sytuacji wywołanej przez epidemię za nadzwyczajną i wypełniającą definicję siły wyższej </w:t>
      </w:r>
      <w:r w:rsidR="004E23A5" w:rsidRPr="004E23A5">
        <w:rPr>
          <w:rFonts w:asciiTheme="minorHAnsi" w:hAnsiTheme="minorHAnsi"/>
          <w:sz w:val="24"/>
          <w:szCs w:val="24"/>
        </w:rPr>
        <w:t xml:space="preserve">Organ Delegowany może przeprowadzać kontrole finansowe na miejscu poprzez </w:t>
      </w:r>
      <w:r w:rsidR="004E23A5" w:rsidRPr="004E23A5">
        <w:rPr>
          <w:rFonts w:asciiTheme="minorHAnsi" w:hAnsiTheme="minorHAnsi"/>
          <w:sz w:val="24"/>
          <w:szCs w:val="24"/>
        </w:rPr>
        <w:lastRenderedPageBreak/>
        <w:t>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rsidR="008A408D" w:rsidRPr="00915E67" w:rsidRDefault="008A408D" w:rsidP="00CC63D0">
      <w:pPr>
        <w:pStyle w:val="Nagwek2"/>
        <w:jc w:val="both"/>
        <w:rPr>
          <w:rFonts w:asciiTheme="minorHAnsi" w:hAnsiTheme="minorHAnsi"/>
          <w:color w:val="auto"/>
          <w:szCs w:val="24"/>
        </w:rPr>
      </w:pPr>
      <w:bookmarkStart w:id="75" w:name="_Toc256716670"/>
    </w:p>
    <w:p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r w:rsidR="00F125EC">
        <w:rPr>
          <w:rFonts w:asciiTheme="minorHAnsi" w:hAnsiTheme="minorHAnsi"/>
          <w:sz w:val="24"/>
          <w:szCs w:val="24"/>
        </w:rPr>
        <w:t xml:space="preserve"> lub innego</w:t>
      </w:r>
      <w:r w:rsidR="00D47214">
        <w:rPr>
          <w:rFonts w:asciiTheme="minorHAnsi" w:hAnsiTheme="minorHAnsi"/>
          <w:sz w:val="24"/>
          <w:szCs w:val="24"/>
        </w:rPr>
        <w:t xml:space="preserve"> dokumentu </w:t>
      </w:r>
      <w:r w:rsidR="006B0C4F">
        <w:rPr>
          <w:rFonts w:asciiTheme="minorHAnsi" w:hAnsiTheme="minorHAnsi"/>
          <w:sz w:val="24"/>
          <w:szCs w:val="24"/>
        </w:rPr>
        <w:t>potwierdzającego charakter pobytu</w:t>
      </w:r>
      <w:r w:rsidR="00D47214">
        <w:rPr>
          <w:rFonts w:asciiTheme="minorHAnsi" w:hAnsiTheme="minorHAnsi"/>
          <w:sz w:val="24"/>
          <w:szCs w:val="24"/>
        </w:rPr>
        <w:t xml:space="preserve"> w Polsce </w:t>
      </w:r>
      <w:r w:rsidR="00F125EC">
        <w:rPr>
          <w:rFonts w:asciiTheme="minorHAnsi" w:hAnsiTheme="minorHAnsi"/>
          <w:sz w:val="24"/>
          <w:szCs w:val="24"/>
        </w:rPr>
        <w:t xml:space="preserve">w przypadku </w:t>
      </w:r>
      <w:r w:rsidR="00D47214">
        <w:rPr>
          <w:rFonts w:asciiTheme="minorHAnsi" w:hAnsiTheme="minorHAnsi"/>
          <w:sz w:val="24"/>
          <w:szCs w:val="24"/>
        </w:rPr>
        <w:t>osoby objętej ochroną tymczasową,</w:t>
      </w:r>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 xml:space="preserve">Do takiego dokumentu opatrzonego podpisem członka personelu </w:t>
      </w:r>
      <w:r w:rsidR="009B55F7">
        <w:rPr>
          <w:rFonts w:asciiTheme="minorHAnsi" w:hAnsiTheme="minorHAnsi"/>
          <w:sz w:val="24"/>
          <w:szCs w:val="24"/>
        </w:rPr>
        <w:lastRenderedPageBreak/>
        <w:t>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lastRenderedPageBreak/>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t>
      </w:r>
      <w:r w:rsidRPr="00915E67">
        <w:rPr>
          <w:rFonts w:asciiTheme="minorHAnsi" w:hAnsiTheme="minorHAnsi"/>
          <w:sz w:val="24"/>
          <w:szCs w:val="24"/>
        </w:rPr>
        <w:lastRenderedPageBreak/>
        <w:t xml:space="preserve">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lastRenderedPageBreak/>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lastRenderedPageBreak/>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709977819"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87" w:name="_Toc132417370"/>
      <w:bookmarkEnd w:id="86"/>
    </w:p>
    <w:p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późn.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późn.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późn.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 xml:space="preserve">powyżej </w:t>
      </w:r>
      <w:r w:rsidR="00C46F07" w:rsidRPr="00915E67">
        <w:rPr>
          <w:rFonts w:asciiTheme="minorHAnsi" w:hAnsiTheme="minorHAnsi"/>
          <w:sz w:val="24"/>
          <w:szCs w:val="24"/>
        </w:rPr>
        <w:lastRenderedPageBreak/>
        <w:t>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późn.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lastRenderedPageBreak/>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lastRenderedPageBreak/>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lastRenderedPageBreak/>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lastRenderedPageBreak/>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późn.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późn.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lastRenderedPageBreak/>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lastRenderedPageBreak/>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 xml:space="preserve">W razie powstania konieczności uzyskania wyjaśnień lub uzupełnień dokumentów, OD przekazuje drogą elektroniczną lub papierową stosowne uwagi do upoważnionego przedstawiciela </w:t>
      </w:r>
      <w:r w:rsidR="008132EF" w:rsidRPr="00915E67">
        <w:rPr>
          <w:rFonts w:asciiTheme="minorHAnsi" w:hAnsiTheme="minorHAnsi"/>
          <w:b w:val="0"/>
        </w:rPr>
        <w:lastRenderedPageBreak/>
        <w:t>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4"/>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(on-going) – wszystkie zamówienia oraz pełnej ex - post – wybrane</w:t>
      </w:r>
      <w:r w:rsidR="00EF38AB">
        <w:rPr>
          <w:rFonts w:asciiTheme="minorHAnsi" w:hAnsiTheme="minorHAnsi"/>
          <w:sz w:val="24"/>
          <w:szCs w:val="24"/>
        </w:rPr>
        <w:t xml:space="preserve"> w przypadku podejrzenia wystąpienia nieprawidłowści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r w:rsidR="00EF38AB"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późn.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 xml:space="preserve">D w ciągu </w:t>
      </w:r>
      <w:r w:rsidR="007F3FD9" w:rsidRPr="00915E67">
        <w:rPr>
          <w:rFonts w:asciiTheme="minorHAnsi" w:hAnsiTheme="minorHAnsi"/>
          <w:sz w:val="24"/>
          <w:szCs w:val="24"/>
        </w:rPr>
        <w:lastRenderedPageBreak/>
        <w:t>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w:t>
      </w:r>
      <w:r w:rsidR="00AF1A0F" w:rsidRPr="00915E67">
        <w:rPr>
          <w:rFonts w:asciiTheme="minorHAnsi" w:hAnsiTheme="minorHAnsi"/>
          <w:sz w:val="24"/>
          <w:szCs w:val="24"/>
        </w:rPr>
        <w:lastRenderedPageBreak/>
        <w:t xml:space="preserve">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96"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6"/>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lastRenderedPageBreak/>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t>Rozdział 7. ZMIANY UMOWY</w:t>
      </w:r>
      <w:bookmarkEnd w:id="97"/>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skutek finansowy ogranicza się do przesunięć pomiędzy pozycjami bezpośrednich kosztów kwalifikowanych możliwych do pokrycia ze środków udostępnionych przez Fundusz [oraz budżet państwa] nie przekraczających 10% budżetu kosztów bezpośrednich w całym okresie </w:t>
      </w:r>
      <w:r w:rsidRPr="00915E67">
        <w:rPr>
          <w:rFonts w:asciiTheme="minorHAnsi" w:eastAsia="Times New Roman" w:hAnsiTheme="minorHAnsi"/>
          <w:b w:val="0"/>
          <w:bCs/>
          <w:szCs w:val="24"/>
        </w:rPr>
        <w:lastRenderedPageBreak/>
        <w:t>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lastRenderedPageBreak/>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odsłanie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lastRenderedPageBreak/>
        <w:t>Rozdział 8. KONTROLA TRWAŁOŚCI PROJEKTU</w:t>
      </w:r>
      <w:bookmarkEnd w:id="103"/>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0F0" w:rsidRDefault="00B820F0">
      <w:r>
        <w:separator/>
      </w:r>
    </w:p>
  </w:endnote>
  <w:endnote w:type="continuationSeparator" w:id="0">
    <w:p w:rsidR="00B820F0" w:rsidRDefault="00B8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F0" w:rsidRDefault="00B820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820F0" w:rsidRDefault="00B820F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B820F0" w:rsidRPr="00DF7D45" w:rsidRDefault="00B820F0">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C2210F">
          <w:rPr>
            <w:rFonts w:ascii="Century Gothic" w:hAnsi="Century Gothic"/>
            <w:noProof/>
          </w:rPr>
          <w:t>2</w:t>
        </w:r>
        <w:r w:rsidRPr="00DF7D45">
          <w:rPr>
            <w:rFonts w:ascii="Century Gothic" w:hAnsi="Century Gothic"/>
            <w:noProof/>
          </w:rPr>
          <w:fldChar w:fldCharType="end"/>
        </w:r>
      </w:p>
    </w:sdtContent>
  </w:sdt>
  <w:p w:rsidR="00B820F0" w:rsidRDefault="00B820F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0F0" w:rsidRDefault="00B820F0">
      <w:r>
        <w:separator/>
      </w:r>
    </w:p>
  </w:footnote>
  <w:footnote w:type="continuationSeparator" w:id="0">
    <w:p w:rsidR="00B820F0" w:rsidRDefault="00B820F0">
      <w:r>
        <w:continuationSeparator/>
      </w:r>
    </w:p>
  </w:footnote>
  <w:footnote w:id="1">
    <w:p w:rsidR="00B820F0" w:rsidRPr="00D61F4D" w:rsidRDefault="00B820F0"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B820F0" w:rsidRPr="00812CC8" w:rsidRDefault="00B820F0">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B820F0" w:rsidRPr="00812CC8" w:rsidRDefault="00B820F0"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B820F0" w:rsidRPr="00812CC8" w:rsidRDefault="00B820F0"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B820F0" w:rsidRPr="00812CC8" w:rsidRDefault="00B820F0"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B820F0" w:rsidRPr="00812CC8" w:rsidRDefault="00B820F0" w:rsidP="00DF7D45">
      <w:pPr>
        <w:pStyle w:val="Tekstprzypisudolnego"/>
        <w:jc w:val="both"/>
        <w:rPr>
          <w:rFonts w:asciiTheme="minorHAnsi" w:hAnsiTheme="minorHAnsi" w:cstheme="minorHAnsi"/>
        </w:rPr>
      </w:pPr>
      <w:r w:rsidRPr="00812CC8">
        <w:rPr>
          <w:rFonts w:asciiTheme="minorHAnsi" w:hAnsiTheme="minorHAnsi" w:cstheme="minorHAnsi"/>
          <w:color w:val="000000"/>
        </w:rPr>
        <w:t>(iii) jakiegokolwiek innego statusu zapewniającego na mocy prawa krajowego i unijnego podobne prawa i korzyści co statusy, o których mowa w ppkt (i) oraz (ii);</w:t>
      </w:r>
    </w:p>
  </w:footnote>
  <w:footnote w:id="4">
    <w:p w:rsidR="00B820F0" w:rsidRDefault="00B820F0"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B820F0" w:rsidRPr="00F111AD" w:rsidRDefault="00B820F0"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B820F0" w:rsidRDefault="00B820F0"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Benenficjenta)</w:t>
      </w:r>
      <w:r w:rsidRPr="00F111AD">
        <w:rPr>
          <w:rFonts w:asciiTheme="minorHAnsi" w:hAnsiTheme="minorHAnsi" w:cstheme="minorHAnsi"/>
        </w:rPr>
        <w:t>.</w:t>
      </w:r>
    </w:p>
  </w:footnote>
  <w:footnote w:id="7">
    <w:p w:rsidR="00B820F0" w:rsidRPr="00F44182" w:rsidRDefault="00B820F0"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dotyczasowego zakresu zadań, jak i zwiększenie zaangażowania w ramach dotychczasowych obowią</w:t>
      </w:r>
      <w:r w:rsidRPr="0071779A">
        <w:rPr>
          <w:rFonts w:asciiTheme="minorHAnsi" w:hAnsiTheme="minorHAnsi" w:cstheme="minorHAnsi"/>
        </w:rPr>
        <w:t>zków służbowych pracownika.</w:t>
      </w:r>
    </w:p>
  </w:footnote>
  <w:footnote w:id="8">
    <w:p w:rsidR="00B820F0" w:rsidRDefault="00B820F0">
      <w:pPr>
        <w:pStyle w:val="Tekstprzypisudolnego"/>
      </w:pPr>
      <w:r>
        <w:rPr>
          <w:rStyle w:val="Odwoanieprzypisudolnego"/>
        </w:rPr>
        <w:footnoteRef/>
      </w:r>
      <w:r>
        <w:t xml:space="preserve"> </w:t>
      </w:r>
      <w:r w:rsidRPr="00056374">
        <w:rPr>
          <w:rFonts w:asciiTheme="minorHAnsi" w:hAnsiTheme="minorHAnsi" w:cstheme="minorHAnsi"/>
        </w:rPr>
        <w:t>Czyli wynagrodzenia – zgodnie z regulaminem wynagrodzej danej instytucji, np. „wynagrodzenie zasadnicze”.</w:t>
      </w:r>
    </w:p>
  </w:footnote>
  <w:footnote w:id="9">
    <w:p w:rsidR="00B820F0" w:rsidRDefault="00B820F0"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B820F0" w:rsidRDefault="00B820F0">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B820F0" w:rsidRPr="00F111AD" w:rsidRDefault="00B820F0"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6A2"/>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595"/>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C75"/>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0E90"/>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0C4F"/>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0A8"/>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899"/>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8CE"/>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0F0"/>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210F"/>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214"/>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5EC"/>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28FF3-FF96-45C8-BF5A-71744F4E7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29800</Words>
  <Characters>206815</Characters>
  <Application>Microsoft Office Word</Application>
  <DocSecurity>0</DocSecurity>
  <Lines>1723</Lines>
  <Paragraphs>472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236143</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2</cp:revision>
  <cp:lastPrinted>2022-03-17T08:30:00Z</cp:lastPrinted>
  <dcterms:created xsi:type="dcterms:W3CDTF">2022-03-28T11:04:00Z</dcterms:created>
  <dcterms:modified xsi:type="dcterms:W3CDTF">2022-03-28T11:04:00Z</dcterms:modified>
</cp:coreProperties>
</file>